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96.85pt" o:ole="">
            <v:imagedata r:id="rId9" o:title=""/>
          </v:shape>
          <o:OLEObject Type="Embed" ProgID="Imaging.Document" ShapeID="_x0000_i1025" DrawAspect="Content" ObjectID="_1687682541"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18"/>
        <w:gridCol w:w="851"/>
        <w:gridCol w:w="850"/>
        <w:gridCol w:w="1109"/>
        <w:gridCol w:w="720"/>
        <w:gridCol w:w="1715"/>
        <w:gridCol w:w="745"/>
        <w:gridCol w:w="1098"/>
        <w:gridCol w:w="1701"/>
        <w:gridCol w:w="2409"/>
        <w:gridCol w:w="1418"/>
      </w:tblGrid>
      <w:tr w:rsidR="0075073A" w:rsidRPr="001F515A" w:rsidTr="00D37D88">
        <w:tc>
          <w:tcPr>
            <w:tcW w:w="2518" w:type="dxa"/>
          </w:tcPr>
          <w:p w:rsidR="0075073A" w:rsidRPr="001F515A" w:rsidRDefault="0075073A" w:rsidP="001F515A">
            <w:pPr>
              <w:rPr>
                <w:rFonts w:ascii="Arial" w:hAnsi="Arial" w:cs="Arial"/>
                <w:b/>
                <w:bCs/>
                <w:szCs w:val="20"/>
                <w:lang w:eastAsia="en-US"/>
              </w:rPr>
            </w:pPr>
            <w:r w:rsidRPr="001F515A">
              <w:rPr>
                <w:rFonts w:ascii="Arial" w:hAnsi="Arial" w:cs="Arial"/>
                <w:b/>
                <w:bCs/>
                <w:szCs w:val="20"/>
                <w:lang w:eastAsia="en-US"/>
              </w:rPr>
              <w:t>Service Area:</w:t>
            </w:r>
          </w:p>
          <w:p w:rsidR="0075073A" w:rsidRPr="001F515A" w:rsidRDefault="0075073A" w:rsidP="001F515A">
            <w:pPr>
              <w:rPr>
                <w:rFonts w:ascii="Arial" w:hAnsi="Arial" w:cs="Arial"/>
                <w:b/>
                <w:bCs/>
                <w:szCs w:val="20"/>
                <w:lang w:eastAsia="en-US"/>
              </w:rPr>
            </w:pPr>
          </w:p>
          <w:p w:rsidR="0075073A" w:rsidRPr="001F515A" w:rsidRDefault="0075073A" w:rsidP="001F515A">
            <w:pPr>
              <w:rPr>
                <w:rFonts w:ascii="Arial" w:hAnsi="Arial" w:cs="Arial"/>
                <w:b/>
                <w:bCs/>
                <w:szCs w:val="20"/>
                <w:lang w:eastAsia="en-US"/>
              </w:rPr>
            </w:pPr>
            <w:r>
              <w:rPr>
                <w:rFonts w:ascii="Arial" w:hAnsi="Arial" w:cs="Arial"/>
                <w:b/>
                <w:bCs/>
                <w:szCs w:val="20"/>
                <w:lang w:eastAsia="en-US"/>
              </w:rPr>
              <w:t>Regulatory Services and Community Safety</w:t>
            </w:r>
          </w:p>
        </w:tc>
        <w:tc>
          <w:tcPr>
            <w:tcW w:w="1701" w:type="dxa"/>
            <w:gridSpan w:val="2"/>
          </w:tcPr>
          <w:p w:rsidR="0075073A" w:rsidRPr="001F515A" w:rsidRDefault="0075073A" w:rsidP="001F515A">
            <w:pPr>
              <w:rPr>
                <w:rFonts w:ascii="Arial" w:hAnsi="Arial" w:cs="Arial"/>
                <w:b/>
                <w:bCs/>
                <w:szCs w:val="20"/>
                <w:lang w:eastAsia="en-US"/>
              </w:rPr>
            </w:pPr>
            <w:r w:rsidRPr="001F515A">
              <w:rPr>
                <w:rFonts w:ascii="Arial" w:hAnsi="Arial" w:cs="Arial"/>
                <w:b/>
                <w:bCs/>
                <w:szCs w:val="20"/>
                <w:lang w:eastAsia="en-US"/>
              </w:rPr>
              <w:t>Section:</w:t>
            </w:r>
          </w:p>
          <w:p w:rsidR="0075073A" w:rsidRPr="001F515A" w:rsidRDefault="0075073A" w:rsidP="001F515A">
            <w:pPr>
              <w:rPr>
                <w:rFonts w:ascii="Arial" w:hAnsi="Arial" w:cs="Arial"/>
                <w:b/>
                <w:bCs/>
                <w:szCs w:val="20"/>
                <w:lang w:eastAsia="en-US"/>
              </w:rPr>
            </w:pPr>
          </w:p>
          <w:p w:rsidR="0075073A" w:rsidRPr="001F515A" w:rsidRDefault="0075073A"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75073A" w:rsidRPr="001F515A" w:rsidRDefault="0075073A" w:rsidP="001F515A">
            <w:pPr>
              <w:rPr>
                <w:rFonts w:ascii="Arial" w:hAnsi="Arial" w:cs="Arial"/>
                <w:b/>
                <w:bCs/>
                <w:szCs w:val="20"/>
                <w:lang w:eastAsia="en-US"/>
              </w:rPr>
            </w:pPr>
            <w:r w:rsidRPr="001F515A">
              <w:rPr>
                <w:rFonts w:ascii="Arial" w:hAnsi="Arial" w:cs="Arial"/>
                <w:b/>
                <w:bCs/>
                <w:szCs w:val="20"/>
                <w:lang w:eastAsia="en-US"/>
              </w:rPr>
              <w:t>Date of Initial assessment:</w:t>
            </w:r>
          </w:p>
          <w:p w:rsidR="0075073A" w:rsidRPr="001F515A" w:rsidRDefault="0075073A" w:rsidP="008878A1">
            <w:pPr>
              <w:rPr>
                <w:rFonts w:ascii="Arial" w:hAnsi="Arial" w:cs="Arial"/>
                <w:b/>
                <w:bCs/>
                <w:szCs w:val="20"/>
                <w:lang w:eastAsia="en-US"/>
              </w:rPr>
            </w:pPr>
            <w:r>
              <w:rPr>
                <w:rFonts w:ascii="Arial" w:hAnsi="Arial" w:cs="Arial"/>
                <w:b/>
                <w:bCs/>
                <w:szCs w:val="20"/>
                <w:lang w:eastAsia="en-US"/>
              </w:rPr>
              <w:t>30</w:t>
            </w:r>
            <w:r w:rsidRPr="0075073A">
              <w:rPr>
                <w:rFonts w:ascii="Arial" w:hAnsi="Arial" w:cs="Arial"/>
                <w:b/>
                <w:bCs/>
                <w:szCs w:val="20"/>
                <w:vertAlign w:val="superscript"/>
                <w:lang w:eastAsia="en-US"/>
              </w:rPr>
              <w:t>th</w:t>
            </w:r>
            <w:r>
              <w:rPr>
                <w:rFonts w:ascii="Arial" w:hAnsi="Arial" w:cs="Arial"/>
                <w:b/>
                <w:bCs/>
                <w:szCs w:val="20"/>
                <w:lang w:eastAsia="en-US"/>
              </w:rPr>
              <w:t xml:space="preserve"> September 2020</w:t>
            </w:r>
          </w:p>
        </w:tc>
        <w:tc>
          <w:tcPr>
            <w:tcW w:w="3558" w:type="dxa"/>
            <w:gridSpan w:val="3"/>
          </w:tcPr>
          <w:p w:rsidR="0075073A" w:rsidRPr="001F515A" w:rsidRDefault="0075073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75073A" w:rsidRPr="001F515A" w:rsidRDefault="0075073A" w:rsidP="001F515A">
            <w:pPr>
              <w:rPr>
                <w:rFonts w:ascii="Arial" w:hAnsi="Arial" w:cs="Arial"/>
                <w:b/>
                <w:bCs/>
                <w:szCs w:val="20"/>
                <w:lang w:eastAsia="en-US"/>
              </w:rPr>
            </w:pPr>
            <w:r>
              <w:rPr>
                <w:rFonts w:ascii="Arial" w:hAnsi="Arial" w:cs="Arial"/>
                <w:b/>
                <w:bCs/>
                <w:szCs w:val="20"/>
                <w:lang w:eastAsia="en-US"/>
              </w:rPr>
              <w:t>Richard Adams</w:t>
            </w:r>
          </w:p>
          <w:p w:rsidR="0075073A" w:rsidRPr="001F515A" w:rsidRDefault="0075073A" w:rsidP="001F515A">
            <w:pPr>
              <w:rPr>
                <w:rFonts w:ascii="Arial" w:hAnsi="Arial" w:cs="Arial"/>
                <w:b/>
                <w:bCs/>
                <w:szCs w:val="20"/>
                <w:lang w:eastAsia="en-US"/>
              </w:rPr>
            </w:pPr>
          </w:p>
        </w:tc>
        <w:tc>
          <w:tcPr>
            <w:tcW w:w="5528" w:type="dxa"/>
            <w:gridSpan w:val="3"/>
          </w:tcPr>
          <w:p w:rsidR="0075073A" w:rsidRPr="001F515A" w:rsidRDefault="0075073A" w:rsidP="001F515A">
            <w:pPr>
              <w:rPr>
                <w:rFonts w:ascii="Arial" w:hAnsi="Arial" w:cs="Arial"/>
                <w:b/>
                <w:bCs/>
                <w:szCs w:val="20"/>
                <w:lang w:eastAsia="en-US"/>
              </w:rPr>
            </w:pPr>
            <w:r w:rsidRPr="001F515A">
              <w:rPr>
                <w:rFonts w:ascii="Arial" w:hAnsi="Arial" w:cs="Arial"/>
                <w:b/>
                <w:bCs/>
                <w:szCs w:val="20"/>
                <w:lang w:eastAsia="en-US"/>
              </w:rPr>
              <w:t>Date assessment commenced:</w:t>
            </w:r>
          </w:p>
          <w:p w:rsidR="0075073A" w:rsidRPr="001F515A" w:rsidRDefault="0075073A" w:rsidP="001F515A">
            <w:pPr>
              <w:rPr>
                <w:rFonts w:ascii="Arial" w:hAnsi="Arial" w:cs="Arial"/>
                <w:b/>
                <w:bCs/>
                <w:szCs w:val="20"/>
                <w:lang w:eastAsia="en-US"/>
              </w:rPr>
            </w:pPr>
          </w:p>
          <w:p w:rsidR="0075073A" w:rsidRPr="001F515A" w:rsidRDefault="0075073A" w:rsidP="002C293A">
            <w:pPr>
              <w:ind w:left="360"/>
              <w:rPr>
                <w:rFonts w:ascii="Arial" w:hAnsi="Arial" w:cs="Arial"/>
                <w:b/>
                <w:bCs/>
                <w:szCs w:val="20"/>
                <w:lang w:eastAsia="en-US"/>
              </w:rPr>
            </w:pPr>
            <w:r>
              <w:rPr>
                <w:rFonts w:ascii="Arial" w:hAnsi="Arial" w:cs="Arial"/>
                <w:b/>
                <w:bCs/>
                <w:szCs w:val="20"/>
                <w:lang w:eastAsia="en-US"/>
              </w:rPr>
              <w:t>30</w:t>
            </w:r>
            <w:r w:rsidRPr="0075073A">
              <w:rPr>
                <w:rFonts w:ascii="Arial" w:hAnsi="Arial" w:cs="Arial"/>
                <w:b/>
                <w:bCs/>
                <w:szCs w:val="20"/>
                <w:vertAlign w:val="superscript"/>
                <w:lang w:eastAsia="en-US"/>
              </w:rPr>
              <w:t>th</w:t>
            </w:r>
            <w:r>
              <w:rPr>
                <w:rFonts w:ascii="Arial" w:hAnsi="Arial" w:cs="Arial"/>
                <w:b/>
                <w:bCs/>
                <w:szCs w:val="20"/>
                <w:lang w:eastAsia="en-US"/>
              </w:rPr>
              <w:t xml:space="preserve"> September 2020</w:t>
            </w:r>
          </w:p>
        </w:tc>
      </w:tr>
      <w:tr w:rsidR="001F515A" w:rsidRPr="001F515A" w:rsidTr="00ED20C9">
        <w:tc>
          <w:tcPr>
            <w:tcW w:w="4219" w:type="dxa"/>
            <w:gridSpan w:val="3"/>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67313B" w:rsidP="009C5712">
            <w:pPr>
              <w:rPr>
                <w:rFonts w:ascii="Arial" w:hAnsi="Arial" w:cs="Arial"/>
                <w:szCs w:val="20"/>
                <w:lang w:eastAsia="en-US"/>
              </w:rPr>
            </w:pPr>
            <w:r>
              <w:rPr>
                <w:rFonts w:ascii="Arial" w:hAnsi="Arial" w:cs="Arial"/>
                <w:szCs w:val="20"/>
                <w:lang w:eastAsia="en-US"/>
              </w:rPr>
              <w:t>Parks</w:t>
            </w:r>
            <w:r w:rsidR="0080343B" w:rsidRPr="0054009D">
              <w:rPr>
                <w:rFonts w:ascii="Arial" w:hAnsi="Arial" w:cs="Arial"/>
                <w:szCs w:val="20"/>
                <w:lang w:eastAsia="en-US"/>
              </w:rPr>
              <w:t xml:space="preserve"> Public Spaces Protection Order</w:t>
            </w:r>
          </w:p>
        </w:tc>
      </w:tr>
      <w:tr w:rsidR="0054009D" w:rsidRPr="001F515A" w:rsidTr="00ED20C9">
        <w:trPr>
          <w:trHeight w:val="96"/>
        </w:trPr>
        <w:tc>
          <w:tcPr>
            <w:tcW w:w="4219" w:type="dxa"/>
            <w:gridSpan w:val="3"/>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3"/>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3"/>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3"/>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3"/>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sidR="00E8259C">
              <w:rPr>
                <w:rFonts w:ascii="Arial" w:hAnsi="Arial" w:cs="Arial"/>
                <w:szCs w:val="20"/>
                <w:lang w:eastAsia="en-US"/>
              </w:rPr>
              <w:t xml:space="preserve"> considering</w:t>
            </w:r>
            <w:r w:rsidR="0075073A">
              <w:rPr>
                <w:rFonts w:ascii="Arial" w:hAnsi="Arial" w:cs="Arial"/>
                <w:szCs w:val="20"/>
                <w:lang w:eastAsia="en-US"/>
              </w:rPr>
              <w:t xml:space="preserve"> the removal, extension or a materially new Public Spaces Protection Order to address </w:t>
            </w:r>
            <w:r w:rsidR="00713935">
              <w:rPr>
                <w:rFonts w:ascii="Arial" w:hAnsi="Arial" w:cs="Arial"/>
                <w:szCs w:val="20"/>
                <w:lang w:eastAsia="en-US"/>
              </w:rPr>
              <w:t>fires in parks and the impact of bottle digging in Port Meadow.</w:t>
            </w:r>
            <w:r w:rsidR="008878A1">
              <w:rPr>
                <w:rFonts w:ascii="Arial" w:hAnsi="Arial" w:cs="Arial"/>
                <w:szCs w:val="20"/>
                <w:lang w:eastAsia="en-US"/>
              </w:rPr>
              <w:t xml:space="preserve">  A</w:t>
            </w:r>
            <w:r>
              <w:rPr>
                <w:rFonts w:ascii="Arial" w:hAnsi="Arial" w:cs="Arial"/>
                <w:szCs w:val="20"/>
                <w:lang w:eastAsia="en-US"/>
              </w:rPr>
              <w:t xml:space="preserve"> breach of the order is a criminal offence </w:t>
            </w:r>
            <w:r w:rsidR="00944A56">
              <w:rPr>
                <w:rFonts w:ascii="Arial" w:hAnsi="Arial" w:cs="Arial"/>
                <w:szCs w:val="20"/>
                <w:lang w:eastAsia="en-US"/>
              </w:rPr>
              <w:t>that</w:t>
            </w:r>
            <w:r>
              <w:rPr>
                <w:rFonts w:ascii="Arial" w:hAnsi="Arial" w:cs="Arial"/>
                <w:szCs w:val="20"/>
                <w:lang w:eastAsia="en-US"/>
              </w:rPr>
              <w:t xml:space="preserve"> can result in the offender being reported to the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878A1" w:rsidRDefault="008878A1" w:rsidP="001F515A">
            <w:pPr>
              <w:autoSpaceDE w:val="0"/>
              <w:autoSpaceDN w:val="0"/>
              <w:adjustRightInd w:val="0"/>
              <w:rPr>
                <w:rFonts w:ascii="Arial" w:hAnsi="Arial" w:cs="Arial"/>
                <w:szCs w:val="20"/>
                <w:lang w:eastAsia="en-US"/>
              </w:rPr>
            </w:pPr>
          </w:p>
          <w:p w:rsidR="001F515A" w:rsidRDefault="008878A1" w:rsidP="00F849BF">
            <w:pPr>
              <w:autoSpaceDE w:val="0"/>
              <w:autoSpaceDN w:val="0"/>
              <w:adjustRightInd w:val="0"/>
              <w:rPr>
                <w:rFonts w:ascii="Arial" w:hAnsi="Arial" w:cs="Arial"/>
                <w:szCs w:val="20"/>
                <w:lang w:eastAsia="en-US"/>
              </w:rPr>
            </w:pPr>
            <w:r>
              <w:rPr>
                <w:rFonts w:ascii="Arial" w:hAnsi="Arial" w:cs="Arial"/>
                <w:szCs w:val="20"/>
                <w:lang w:eastAsia="en-US"/>
              </w:rPr>
              <w:t>Restrictions on the proposed behaviours may have an imp</w:t>
            </w:r>
            <w:r w:rsidR="00944A56">
              <w:rPr>
                <w:rFonts w:ascii="Arial" w:hAnsi="Arial" w:cs="Arial"/>
                <w:szCs w:val="20"/>
                <w:lang w:eastAsia="en-US"/>
              </w:rPr>
              <w:t>act on protected characteristics or other strategic equalities considerations</w:t>
            </w:r>
            <w:r>
              <w:rPr>
                <w:rFonts w:ascii="Arial" w:hAnsi="Arial" w:cs="Arial"/>
                <w:szCs w:val="20"/>
                <w:lang w:eastAsia="en-US"/>
              </w:rPr>
              <w:t>, in particular the safeguarding of children and vulnerable adults, mental well-being and community resilience</w:t>
            </w:r>
            <w:r w:rsidR="00944A56">
              <w:rPr>
                <w:rFonts w:ascii="Arial" w:hAnsi="Arial" w:cs="Arial"/>
                <w:szCs w:val="20"/>
                <w:lang w:eastAsia="en-US"/>
              </w:rPr>
              <w:t>,</w:t>
            </w:r>
            <w:r>
              <w:rPr>
                <w:rFonts w:ascii="Arial" w:hAnsi="Arial" w:cs="Arial"/>
                <w:szCs w:val="20"/>
                <w:lang w:eastAsia="en-US"/>
              </w:rPr>
              <w:t xml:space="preserve"> and disability.  </w:t>
            </w:r>
            <w:r w:rsidR="00944A56">
              <w:rPr>
                <w:rFonts w:ascii="Arial" w:hAnsi="Arial" w:cs="Arial"/>
                <w:szCs w:val="20"/>
                <w:lang w:eastAsia="en-US"/>
              </w:rPr>
              <w:t>T</w:t>
            </w:r>
            <w:r>
              <w:rPr>
                <w:rFonts w:ascii="Arial" w:hAnsi="Arial" w:cs="Arial"/>
                <w:szCs w:val="20"/>
                <w:lang w:eastAsia="en-US"/>
              </w:rPr>
              <w:t>he impact on all factors has been considered.</w:t>
            </w: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to whether implementation of the 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lastRenderedPageBreak/>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3"/>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944A56" w:rsidRDefault="00944A56" w:rsidP="008878A1">
            <w:pPr>
              <w:rPr>
                <w:rFonts w:ascii="Arial" w:hAnsi="Arial" w:cs="Arial"/>
                <w:szCs w:val="20"/>
                <w:lang w:eastAsia="en-US"/>
              </w:rPr>
            </w:pPr>
            <w:r>
              <w:rPr>
                <w:rFonts w:ascii="Arial" w:hAnsi="Arial" w:cs="Arial"/>
                <w:szCs w:val="20"/>
                <w:lang w:eastAsia="en-US"/>
              </w:rPr>
              <w:t>Data used to identify the types of behaviours within the proposed PSPO has c</w:t>
            </w:r>
            <w:r w:rsidR="00713935">
              <w:rPr>
                <w:rFonts w:ascii="Arial" w:hAnsi="Arial" w:cs="Arial"/>
                <w:szCs w:val="20"/>
                <w:lang w:eastAsia="en-US"/>
              </w:rPr>
              <w:t>ome from the City Council and Fire And Rescue Service</w:t>
            </w:r>
            <w:r>
              <w:rPr>
                <w:rFonts w:ascii="Arial" w:hAnsi="Arial" w:cs="Arial"/>
                <w:szCs w:val="20"/>
                <w:lang w:eastAsia="en-US"/>
              </w:rPr>
              <w:t xml:space="preserve"> databases.  </w:t>
            </w:r>
          </w:p>
          <w:p w:rsidR="008878A1" w:rsidRPr="00C11DF7" w:rsidRDefault="008878A1" w:rsidP="008878A1">
            <w:pPr>
              <w:rPr>
                <w:rFonts w:ascii="Arial" w:hAnsi="Arial" w:cs="Arial"/>
                <w:szCs w:val="20"/>
                <w:lang w:eastAsia="en-US"/>
              </w:rPr>
            </w:pPr>
            <w:r>
              <w:rPr>
                <w:rFonts w:ascii="Arial" w:hAnsi="Arial" w:cs="Arial"/>
                <w:szCs w:val="20"/>
                <w:lang w:eastAsia="en-US"/>
              </w:rPr>
              <w:t>Use of the PSPO powers and advice given will be recorded in pocket note books and on council databases.  The information will be analysed to determine whether the implementation of the powers has had a disproportionate effect upon the equality factors.</w:t>
            </w:r>
          </w:p>
        </w:tc>
      </w:tr>
      <w:tr w:rsidR="001F515A" w:rsidRPr="001F515A" w:rsidTr="00ED20C9">
        <w:tc>
          <w:tcPr>
            <w:tcW w:w="4219" w:type="dxa"/>
            <w:gridSpan w:val="3"/>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C54136" w:rsidRDefault="00C54136" w:rsidP="001F515A">
            <w:pPr>
              <w:rPr>
                <w:rFonts w:ascii="Arial" w:hAnsi="Arial" w:cs="Arial"/>
                <w:szCs w:val="20"/>
                <w:lang w:eastAsia="en-US"/>
              </w:rPr>
            </w:pPr>
            <w:r>
              <w:rPr>
                <w:rFonts w:ascii="Arial" w:hAnsi="Arial" w:cs="Arial"/>
                <w:szCs w:val="20"/>
                <w:lang w:eastAsia="en-US"/>
              </w:rPr>
              <w:t xml:space="preserve">Implementation of a Public Spaces Protection Order requires public consultation as set out in the </w:t>
            </w:r>
            <w:r w:rsidR="00944A56">
              <w:rPr>
                <w:rFonts w:ascii="Arial" w:hAnsi="Arial" w:cs="Arial"/>
                <w:szCs w:val="20"/>
                <w:lang w:eastAsia="en-US"/>
              </w:rPr>
              <w:t>Anti-S</w:t>
            </w:r>
            <w:r w:rsidR="00E411FE">
              <w:rPr>
                <w:rFonts w:ascii="Arial" w:hAnsi="Arial" w:cs="Arial"/>
                <w:szCs w:val="20"/>
                <w:lang w:eastAsia="en-US"/>
              </w:rPr>
              <w:t>ocial Behaviour Crime and P</w:t>
            </w:r>
            <w:r w:rsidR="00C11DF7">
              <w:rPr>
                <w:rFonts w:ascii="Arial" w:hAnsi="Arial" w:cs="Arial"/>
                <w:szCs w:val="20"/>
                <w:lang w:eastAsia="en-US"/>
              </w:rPr>
              <w:t>olicing Act 2014</w:t>
            </w:r>
            <w:r>
              <w:rPr>
                <w:rFonts w:ascii="Arial" w:hAnsi="Arial" w:cs="Arial"/>
                <w:szCs w:val="20"/>
                <w:lang w:eastAsia="en-US"/>
              </w:rPr>
              <w:t>.  The consultation methodology was approved by the city council’s</w:t>
            </w:r>
            <w:r w:rsidR="00C11DF7">
              <w:rPr>
                <w:rFonts w:ascii="Arial" w:hAnsi="Arial" w:cs="Arial"/>
                <w:szCs w:val="20"/>
                <w:lang w:eastAsia="en-US"/>
              </w:rPr>
              <w:t xml:space="preserve"> Public Involvement Board. </w:t>
            </w:r>
          </w:p>
          <w:p w:rsidR="00C54136" w:rsidRDefault="00C54136" w:rsidP="001F515A">
            <w:pPr>
              <w:rPr>
                <w:rFonts w:ascii="Arial" w:hAnsi="Arial" w:cs="Arial"/>
                <w:szCs w:val="20"/>
                <w:lang w:eastAsia="en-US"/>
              </w:rPr>
            </w:pPr>
          </w:p>
          <w:p w:rsidR="00262814" w:rsidRDefault="00C54136" w:rsidP="001F515A">
            <w:pPr>
              <w:rPr>
                <w:rFonts w:ascii="Arial" w:hAnsi="Arial" w:cs="Arial"/>
                <w:szCs w:val="20"/>
                <w:lang w:eastAsia="en-US"/>
              </w:rPr>
            </w:pPr>
            <w:r>
              <w:rPr>
                <w:rFonts w:ascii="Arial" w:hAnsi="Arial" w:cs="Arial"/>
                <w:szCs w:val="20"/>
                <w:lang w:eastAsia="en-US"/>
              </w:rPr>
              <w:t xml:space="preserve">Consultation responses gave rise to </w:t>
            </w:r>
            <w:r w:rsidR="00C11DF7">
              <w:rPr>
                <w:rFonts w:ascii="Arial" w:hAnsi="Arial" w:cs="Arial"/>
                <w:szCs w:val="20"/>
                <w:lang w:eastAsia="en-US"/>
              </w:rPr>
              <w:t>concerns</w:t>
            </w:r>
            <w:r w:rsidR="00262814">
              <w:rPr>
                <w:rFonts w:ascii="Arial" w:hAnsi="Arial" w:cs="Arial"/>
                <w:szCs w:val="20"/>
                <w:lang w:eastAsia="en-US"/>
              </w:rPr>
              <w:t xml:space="preserve"> over:</w:t>
            </w:r>
          </w:p>
          <w:p w:rsidR="00262814" w:rsidRDefault="00713935" w:rsidP="00262814">
            <w:pPr>
              <w:pStyle w:val="ListParagraph"/>
              <w:numPr>
                <w:ilvl w:val="1"/>
                <w:numId w:val="1"/>
              </w:numPr>
            </w:pPr>
            <w:r>
              <w:t>Fire setting in parks, in particular those designated as Places of Special Scientific Interest</w:t>
            </w:r>
          </w:p>
          <w:p w:rsidR="0075073A" w:rsidRDefault="00713935" w:rsidP="00262814">
            <w:pPr>
              <w:pStyle w:val="ListParagraph"/>
              <w:numPr>
                <w:ilvl w:val="1"/>
                <w:numId w:val="1"/>
              </w:numPr>
            </w:pPr>
            <w:r>
              <w:t>The damage to Port Meadow from the practice of bottle digging.</w:t>
            </w:r>
          </w:p>
          <w:p w:rsidR="00262814" w:rsidRDefault="00262814" w:rsidP="00262814">
            <w:pPr>
              <w:pStyle w:val="ListParagraph"/>
            </w:pPr>
          </w:p>
          <w:p w:rsidR="00262814" w:rsidRDefault="00262814" w:rsidP="001F515A">
            <w:pPr>
              <w:rPr>
                <w:rFonts w:ascii="Arial" w:hAnsi="Arial" w:cs="Arial"/>
                <w:szCs w:val="20"/>
                <w:lang w:eastAsia="en-US"/>
              </w:rPr>
            </w:pPr>
          </w:p>
          <w:p w:rsidR="009F00B3" w:rsidRPr="001F515A" w:rsidRDefault="009F00B3" w:rsidP="00713935">
            <w:pPr>
              <w:rPr>
                <w:rFonts w:ascii="Arial" w:hAnsi="Arial" w:cs="Arial"/>
                <w:szCs w:val="20"/>
                <w:lang w:eastAsia="en-US"/>
              </w:rPr>
            </w:pPr>
            <w:r>
              <w:rPr>
                <w:rFonts w:ascii="Arial" w:hAnsi="Arial" w:cs="Arial"/>
                <w:szCs w:val="20"/>
                <w:lang w:eastAsia="en-US"/>
              </w:rPr>
              <w:t xml:space="preserve">Please refer to the consultation report at </w:t>
            </w:r>
            <w:r w:rsidR="0075073A">
              <w:rPr>
                <w:rFonts w:ascii="Arial" w:hAnsi="Arial" w:cs="Arial"/>
                <w:szCs w:val="20"/>
                <w:lang w:eastAsia="en-US"/>
              </w:rPr>
              <w:t>A</w:t>
            </w:r>
            <w:r>
              <w:rPr>
                <w:rFonts w:ascii="Arial" w:hAnsi="Arial" w:cs="Arial"/>
                <w:szCs w:val="20"/>
                <w:lang w:eastAsia="en-US"/>
              </w:rPr>
              <w:t xml:space="preserve">ppendix </w:t>
            </w:r>
            <w:r w:rsidR="00713935">
              <w:rPr>
                <w:rFonts w:ascii="Arial" w:hAnsi="Arial" w:cs="Arial"/>
                <w:szCs w:val="20"/>
                <w:lang w:eastAsia="en-US"/>
              </w:rPr>
              <w:t>2</w:t>
            </w:r>
            <w:r>
              <w:rPr>
                <w:rFonts w:ascii="Arial" w:hAnsi="Arial" w:cs="Arial"/>
                <w:szCs w:val="20"/>
                <w:lang w:eastAsia="en-US"/>
              </w:rPr>
              <w:t xml:space="preserve"> of the</w:t>
            </w:r>
            <w:r w:rsidR="0075073A">
              <w:rPr>
                <w:rFonts w:ascii="Arial" w:hAnsi="Arial" w:cs="Arial"/>
                <w:szCs w:val="20"/>
                <w:lang w:eastAsia="en-US"/>
              </w:rPr>
              <w:t xml:space="preserve"> attached</w:t>
            </w:r>
            <w:r>
              <w:rPr>
                <w:rFonts w:ascii="Arial" w:hAnsi="Arial" w:cs="Arial"/>
                <w:szCs w:val="20"/>
                <w:lang w:eastAsia="en-US"/>
              </w:rPr>
              <w:t xml:space="preserve"> report.</w:t>
            </w:r>
          </w:p>
        </w:tc>
      </w:tr>
      <w:tr w:rsidR="001F515A" w:rsidRPr="001F515A" w:rsidTr="00903362">
        <w:trPr>
          <w:trHeight w:val="2910"/>
        </w:trPr>
        <w:tc>
          <w:tcPr>
            <w:tcW w:w="4219" w:type="dxa"/>
            <w:gridSpan w:val="3"/>
          </w:tcPr>
          <w:p w:rsidR="001F515A" w:rsidRPr="001F515A" w:rsidRDefault="001F515A" w:rsidP="001F515A">
            <w:pPr>
              <w:rPr>
                <w:rFonts w:ascii="Arial" w:hAnsi="Arial" w:cs="Arial"/>
                <w:lang w:eastAsia="en-US"/>
              </w:rPr>
            </w:pPr>
          </w:p>
          <w:p w:rsidR="001F515A" w:rsidRPr="001F515A" w:rsidRDefault="001F515A" w:rsidP="001F515A">
            <w:pPr>
              <w:rPr>
                <w:rFonts w:ascii="Arial" w:hAnsi="Arial" w:cs="Arial"/>
                <w:b/>
                <w:szCs w:val="20"/>
                <w:lang w:eastAsia="en-US"/>
              </w:rPr>
            </w:pPr>
          </w:p>
        </w:tc>
        <w:tc>
          <w:tcPr>
            <w:tcW w:w="10915" w:type="dxa"/>
            <w:gridSpan w:val="8"/>
          </w:tcPr>
          <w:p w:rsidR="00166BA2" w:rsidRPr="007070ED" w:rsidRDefault="00713935" w:rsidP="00166BA2">
            <w:pPr>
              <w:rPr>
                <w:rFonts w:ascii="Arial" w:hAnsi="Arial" w:cs="Arial"/>
                <w:b/>
                <w:szCs w:val="20"/>
                <w:lang w:eastAsia="en-US"/>
              </w:rPr>
            </w:pPr>
            <w:r>
              <w:rPr>
                <w:rFonts w:ascii="Arial" w:hAnsi="Arial" w:cs="Arial"/>
                <w:b/>
                <w:szCs w:val="20"/>
                <w:lang w:eastAsia="en-US"/>
              </w:rPr>
              <w:t>Fire setting</w:t>
            </w:r>
          </w:p>
          <w:p w:rsidR="0075073A" w:rsidRDefault="0075073A" w:rsidP="0075073A">
            <w:pPr>
              <w:rPr>
                <w:rStyle w:val="st1"/>
                <w:rFonts w:ascii="Arial" w:hAnsi="Arial" w:cs="Arial"/>
                <w:color w:val="4D5156"/>
                <w:sz w:val="21"/>
                <w:szCs w:val="21"/>
              </w:rPr>
            </w:pPr>
            <w:r>
              <w:rPr>
                <w:rFonts w:ascii="Arial" w:hAnsi="Arial" w:cs="Arial"/>
                <w:szCs w:val="20"/>
                <w:lang w:eastAsia="en-US"/>
              </w:rPr>
              <w:t xml:space="preserve">The most common complaint relating to </w:t>
            </w:r>
            <w:r w:rsidR="00713935">
              <w:rPr>
                <w:rFonts w:ascii="Arial" w:hAnsi="Arial" w:cs="Arial"/>
                <w:szCs w:val="20"/>
                <w:lang w:eastAsia="en-US"/>
              </w:rPr>
              <w:t>fires is the use of BBQs and the impact of ground fires.  Log fires and BBQ areas result in significant litter deposits, scorched ground surface and discarded burn material.</w:t>
            </w:r>
          </w:p>
          <w:p w:rsidR="005E3ECE" w:rsidRDefault="005E3ECE" w:rsidP="0075073A">
            <w:pPr>
              <w:rPr>
                <w:rFonts w:ascii="Arial" w:hAnsi="Arial" w:cs="Arial"/>
                <w:szCs w:val="20"/>
                <w:lang w:eastAsia="en-US"/>
              </w:rPr>
            </w:pPr>
          </w:p>
          <w:p w:rsidR="0075073A" w:rsidRDefault="00CD191B" w:rsidP="0075073A">
            <w:pPr>
              <w:rPr>
                <w:rFonts w:ascii="Arial" w:hAnsi="Arial" w:cs="Arial"/>
                <w:szCs w:val="20"/>
                <w:lang w:eastAsia="en-US"/>
              </w:rPr>
            </w:pPr>
            <w:r>
              <w:rPr>
                <w:rFonts w:ascii="Arial" w:hAnsi="Arial" w:cs="Arial"/>
                <w:szCs w:val="20"/>
                <w:lang w:eastAsia="en-US"/>
              </w:rPr>
              <w:t xml:space="preserve">Addressing </w:t>
            </w:r>
            <w:r w:rsidR="00713935">
              <w:rPr>
                <w:rFonts w:ascii="Arial" w:hAnsi="Arial" w:cs="Arial"/>
                <w:szCs w:val="20"/>
                <w:lang w:eastAsia="en-US"/>
              </w:rPr>
              <w:t>fires will ha</w:t>
            </w:r>
            <w:r>
              <w:rPr>
                <w:rFonts w:ascii="Arial" w:hAnsi="Arial" w:cs="Arial"/>
                <w:szCs w:val="20"/>
                <w:lang w:eastAsia="en-US"/>
              </w:rPr>
              <w:t>ve a positive impact on people with physical disabilities including</w:t>
            </w:r>
            <w:r w:rsidR="00713935">
              <w:rPr>
                <w:rFonts w:ascii="Arial" w:hAnsi="Arial" w:cs="Arial"/>
                <w:szCs w:val="20"/>
                <w:lang w:eastAsia="en-US"/>
              </w:rPr>
              <w:t xml:space="preserve"> those with restricted movement and the partially sighted.</w:t>
            </w:r>
            <w:r>
              <w:rPr>
                <w:rFonts w:ascii="Arial" w:hAnsi="Arial" w:cs="Arial"/>
                <w:szCs w:val="20"/>
                <w:lang w:eastAsia="en-US"/>
              </w:rPr>
              <w:t xml:space="preserve">  </w:t>
            </w: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75073A">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CD191B">
              <w:trPr>
                <w:trHeight w:val="302"/>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CD191B" w:rsidP="00CD191B">
                  <w:pPr>
                    <w:jc w:val="center"/>
                    <w:rPr>
                      <w:rFonts w:ascii="Arial" w:hAnsi="Arial" w:cs="Arial"/>
                      <w:iCs/>
                      <w:szCs w:val="20"/>
                      <w:lang w:eastAsia="en-US"/>
                    </w:rPr>
                  </w:pPr>
                  <w:r>
                    <w:rPr>
                      <w:rFonts w:ascii="Arial" w:hAnsi="Arial" w:cs="Arial"/>
                      <w:iCs/>
                      <w:szCs w:val="20"/>
                      <w:lang w:eastAsia="en-US"/>
                    </w:rPr>
                    <w:t>Positive</w:t>
                  </w:r>
                </w:p>
              </w:tc>
              <w:tc>
                <w:tcPr>
                  <w:tcW w:w="3562" w:type="dxa"/>
                  <w:tcBorders>
                    <w:bottom w:val="single" w:sz="4" w:space="0" w:color="auto"/>
                  </w:tcBorders>
                </w:tcPr>
                <w:p w:rsidR="00944A56" w:rsidRPr="00944A56" w:rsidRDefault="005E3ECE" w:rsidP="00944A56">
                  <w:pPr>
                    <w:jc w:val="center"/>
                    <w:rPr>
                      <w:rFonts w:ascii="Arial" w:hAnsi="Arial" w:cs="Arial"/>
                      <w:iCs/>
                      <w:szCs w:val="20"/>
                      <w:lang w:eastAsia="en-US"/>
                    </w:rPr>
                  </w:pPr>
                  <w:r>
                    <w:rPr>
                      <w:rFonts w:ascii="Arial" w:hAnsi="Arial" w:cs="Arial"/>
                      <w:iCs/>
                      <w:szCs w:val="20"/>
                      <w:lang w:eastAsia="en-US"/>
                    </w:rPr>
                    <w:t>Positive</w:t>
                  </w:r>
                </w:p>
              </w:tc>
            </w:tr>
            <w:tr w:rsidR="00944A56" w:rsidTr="0075073A">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75073A">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75073A">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75073A">
              <w:trPr>
                <w:trHeight w:val="431"/>
              </w:trPr>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rsidR="00041903" w:rsidRPr="001F515A" w:rsidRDefault="00041903" w:rsidP="00376912">
            <w:pPr>
              <w:rPr>
                <w:rFonts w:ascii="Arial" w:hAnsi="Arial" w:cs="Arial"/>
                <w:szCs w:val="20"/>
                <w:lang w:eastAsia="en-US"/>
              </w:rPr>
            </w:pPr>
          </w:p>
        </w:tc>
      </w:tr>
      <w:tr w:rsidR="001F515A" w:rsidRPr="001F515A" w:rsidTr="00ED20C9">
        <w:tc>
          <w:tcPr>
            <w:tcW w:w="4219" w:type="dxa"/>
            <w:gridSpan w:val="3"/>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D6296E" w:rsidRDefault="009A5564" w:rsidP="00D6296E">
            <w:pPr>
              <w:pStyle w:val="Default"/>
            </w:pPr>
            <w:r>
              <w:rPr>
                <w:szCs w:val="20"/>
              </w:rPr>
              <w:t xml:space="preserve">No adverse impacts of the policy have been identified.  </w:t>
            </w:r>
          </w:p>
          <w:p w:rsidR="003C118C" w:rsidRPr="00D6296E" w:rsidRDefault="00D6296E" w:rsidP="00713935">
            <w:pPr>
              <w:pStyle w:val="Default"/>
            </w:pPr>
            <w:r w:rsidRPr="00D6296E">
              <w:rPr>
                <w:szCs w:val="20"/>
              </w:rPr>
              <w:t>The measures are proportionate responses to problems caused by</w:t>
            </w:r>
            <w:r>
              <w:rPr>
                <w:szCs w:val="20"/>
              </w:rPr>
              <w:t xml:space="preserve"> </w:t>
            </w:r>
            <w:r w:rsidR="00713935">
              <w:rPr>
                <w:szCs w:val="20"/>
              </w:rPr>
              <w:t>fire lighting in public parks</w:t>
            </w:r>
            <w:r>
              <w:rPr>
                <w:szCs w:val="20"/>
              </w:rPr>
              <w:t>.</w:t>
            </w:r>
          </w:p>
        </w:tc>
      </w:tr>
      <w:tr w:rsidR="001F515A" w:rsidRPr="001F515A" w:rsidTr="00ED20C9">
        <w:trPr>
          <w:trHeight w:val="359"/>
        </w:trPr>
        <w:tc>
          <w:tcPr>
            <w:tcW w:w="4219" w:type="dxa"/>
            <w:gridSpan w:val="3"/>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w:t>
            </w:r>
            <w:r w:rsidRPr="001F515A">
              <w:rPr>
                <w:rFonts w:ascii="Arial" w:hAnsi="Arial" w:cs="Arial"/>
                <w:szCs w:val="20"/>
                <w:lang w:eastAsia="en-US"/>
              </w:rPr>
              <w:lastRenderedPageBreak/>
              <w:t xml:space="preserve">making clear whether you found any evidence of discrimination. </w:t>
            </w:r>
          </w:p>
        </w:tc>
        <w:tc>
          <w:tcPr>
            <w:tcW w:w="10915" w:type="dxa"/>
            <w:gridSpan w:val="8"/>
          </w:tcPr>
          <w:p w:rsidR="00817AC6" w:rsidRDefault="007974F6" w:rsidP="001F515A">
            <w:pPr>
              <w:rPr>
                <w:rFonts w:ascii="Arial" w:hAnsi="Arial" w:cs="Arial"/>
                <w:szCs w:val="20"/>
                <w:lang w:eastAsia="en-US"/>
              </w:rPr>
            </w:pPr>
            <w:r>
              <w:rPr>
                <w:rFonts w:ascii="Arial" w:hAnsi="Arial" w:cs="Arial"/>
                <w:szCs w:val="20"/>
                <w:lang w:eastAsia="en-US"/>
              </w:rPr>
              <w:lastRenderedPageBreak/>
              <w:t xml:space="preserve">The </w:t>
            </w:r>
            <w:r w:rsidR="00D6296E">
              <w:rPr>
                <w:rFonts w:ascii="Arial" w:hAnsi="Arial" w:cs="Arial"/>
                <w:szCs w:val="20"/>
                <w:lang w:eastAsia="en-US"/>
              </w:rPr>
              <w:t>Community Safety Team</w:t>
            </w:r>
            <w:r>
              <w:rPr>
                <w:rFonts w:ascii="Arial" w:hAnsi="Arial" w:cs="Arial"/>
                <w:szCs w:val="20"/>
                <w:lang w:eastAsia="en-US"/>
              </w:rPr>
              <w:t xml:space="preserve"> will</w:t>
            </w:r>
            <w:r w:rsidR="00D6296E">
              <w:rPr>
                <w:rFonts w:ascii="Arial" w:hAnsi="Arial" w:cs="Arial"/>
                <w:szCs w:val="20"/>
                <w:lang w:eastAsia="en-US"/>
              </w:rPr>
              <w:t xml:space="preserve"> oversee the</w:t>
            </w:r>
            <w:r>
              <w:rPr>
                <w:rFonts w:ascii="Arial" w:hAnsi="Arial" w:cs="Arial"/>
                <w:szCs w:val="20"/>
                <w:lang w:eastAsia="en-US"/>
              </w:rPr>
              <w:t xml:space="preserve"> use of all enforcement actions</w:t>
            </w:r>
            <w:r w:rsidR="00D6296E">
              <w:rPr>
                <w:rFonts w:ascii="Arial" w:hAnsi="Arial" w:cs="Arial"/>
                <w:szCs w:val="20"/>
                <w:lang w:eastAsia="en-US"/>
              </w:rPr>
              <w:t xml:space="preserve"> in accordance with the Council’s ASB Enforcement Policy.  </w:t>
            </w:r>
          </w:p>
          <w:p w:rsidR="007974F6" w:rsidRDefault="007974F6" w:rsidP="001F515A">
            <w:pPr>
              <w:rPr>
                <w:rFonts w:ascii="Arial" w:hAnsi="Arial" w:cs="Arial"/>
                <w:szCs w:val="20"/>
                <w:lang w:eastAsia="en-US"/>
              </w:rPr>
            </w:pPr>
          </w:p>
          <w:p w:rsidR="00817AC6" w:rsidRPr="001F515A" w:rsidRDefault="007974F6" w:rsidP="007974F6">
            <w:pPr>
              <w:rPr>
                <w:rFonts w:ascii="Arial" w:hAnsi="Arial" w:cs="Arial"/>
                <w:szCs w:val="20"/>
                <w:lang w:eastAsia="en-US"/>
              </w:rPr>
            </w:pPr>
            <w:r>
              <w:rPr>
                <w:rFonts w:ascii="Arial" w:hAnsi="Arial" w:cs="Arial"/>
                <w:szCs w:val="20"/>
                <w:lang w:eastAsia="en-US"/>
              </w:rPr>
              <w:t>Advice, warnings and enforcement of the PSPO will be logged in pocket notebooks and council and police databases.</w:t>
            </w:r>
          </w:p>
          <w:p w:rsidR="001F515A" w:rsidRPr="001F515A" w:rsidRDefault="001F515A" w:rsidP="00D6296E">
            <w:pPr>
              <w:rPr>
                <w:rFonts w:ascii="Arial" w:hAnsi="Arial" w:cs="Arial"/>
                <w:b/>
                <w:szCs w:val="20"/>
                <w:lang w:eastAsia="en-US"/>
              </w:rPr>
            </w:pPr>
          </w:p>
        </w:tc>
      </w:tr>
      <w:tr w:rsidR="001F515A" w:rsidRPr="001F515A" w:rsidTr="00ED20C9">
        <w:tc>
          <w:tcPr>
            <w:tcW w:w="4219" w:type="dxa"/>
            <w:gridSpan w:val="3"/>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713935" w:rsidP="00760DAE">
            <w:pPr>
              <w:rPr>
                <w:rFonts w:ascii="Arial" w:hAnsi="Arial" w:cs="Arial"/>
                <w:szCs w:val="20"/>
                <w:lang w:eastAsia="en-US"/>
              </w:rPr>
            </w:pPr>
            <w:r>
              <w:rPr>
                <w:rFonts w:ascii="Arial" w:hAnsi="Arial" w:cs="Arial"/>
                <w:szCs w:val="20"/>
                <w:lang w:eastAsia="en-US"/>
              </w:rPr>
              <w:t>N/A</w:t>
            </w:r>
          </w:p>
        </w:tc>
      </w:tr>
      <w:tr w:rsidR="001F515A" w:rsidRPr="001F515A" w:rsidTr="00ED20C9">
        <w:trPr>
          <w:trHeight w:val="782"/>
        </w:trPr>
        <w:tc>
          <w:tcPr>
            <w:tcW w:w="4219" w:type="dxa"/>
            <w:gridSpan w:val="3"/>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1F515A" w:rsidRDefault="007974F6" w:rsidP="00713935">
            <w:pPr>
              <w:rPr>
                <w:rFonts w:ascii="Arial" w:hAnsi="Arial" w:cs="Arial"/>
                <w:b/>
                <w:szCs w:val="20"/>
                <w:lang w:eastAsia="en-US"/>
              </w:rPr>
            </w:pPr>
            <w:r>
              <w:rPr>
                <w:rFonts w:ascii="Arial" w:hAnsi="Arial" w:cs="Arial"/>
                <w:szCs w:val="20"/>
                <w:lang w:eastAsia="en-US"/>
              </w:rPr>
              <w:t xml:space="preserve">The introduction of the </w:t>
            </w:r>
            <w:r w:rsidR="00713935">
              <w:rPr>
                <w:rFonts w:ascii="Arial" w:hAnsi="Arial" w:cs="Arial"/>
                <w:szCs w:val="20"/>
                <w:lang w:eastAsia="en-US"/>
              </w:rPr>
              <w:t xml:space="preserve">Parks </w:t>
            </w:r>
            <w:r w:rsidR="00D6296E">
              <w:rPr>
                <w:rFonts w:ascii="Arial" w:hAnsi="Arial" w:cs="Arial"/>
                <w:szCs w:val="20"/>
                <w:lang w:eastAsia="en-US"/>
              </w:rPr>
              <w:t>PSPO will impact positively on</w:t>
            </w:r>
            <w:r>
              <w:rPr>
                <w:rFonts w:ascii="Arial" w:hAnsi="Arial" w:cs="Arial"/>
                <w:szCs w:val="20"/>
                <w:lang w:eastAsia="en-US"/>
              </w:rPr>
              <w:t xml:space="preserve"> the lives of people who live, work and visit the city</w:t>
            </w:r>
            <w:r w:rsidR="00D6296E">
              <w:rPr>
                <w:rFonts w:ascii="Arial" w:hAnsi="Arial" w:cs="Arial"/>
                <w:szCs w:val="20"/>
                <w:lang w:eastAsia="en-US"/>
              </w:rPr>
              <w:t>, particularly those with disabilities, children, young people and the elderly</w:t>
            </w:r>
            <w:r>
              <w:rPr>
                <w:rFonts w:ascii="Arial" w:hAnsi="Arial" w:cs="Arial"/>
                <w:szCs w:val="20"/>
                <w:lang w:eastAsia="en-US"/>
              </w:rPr>
              <w:t>.</w:t>
            </w:r>
            <w:r w:rsidR="00D6296E">
              <w:rPr>
                <w:rFonts w:ascii="Arial" w:hAnsi="Arial" w:cs="Arial"/>
                <w:szCs w:val="20"/>
                <w:lang w:eastAsia="en-US"/>
              </w:rPr>
              <w:t xml:space="preserve">  The Council’s </w:t>
            </w:r>
            <w:r w:rsidR="00AE7473">
              <w:rPr>
                <w:rFonts w:ascii="Arial" w:hAnsi="Arial" w:cs="Arial"/>
                <w:szCs w:val="20"/>
                <w:lang w:eastAsia="en-US"/>
              </w:rPr>
              <w:t xml:space="preserve">approach </w:t>
            </w:r>
            <w:r w:rsidR="00D6296E">
              <w:rPr>
                <w:rFonts w:ascii="Arial" w:hAnsi="Arial" w:cs="Arial"/>
                <w:szCs w:val="20"/>
                <w:lang w:eastAsia="en-US"/>
              </w:rPr>
              <w:t xml:space="preserve">to enforcement </w:t>
            </w:r>
            <w:r w:rsidR="00AE7473">
              <w:rPr>
                <w:rFonts w:ascii="Arial" w:hAnsi="Arial" w:cs="Arial"/>
                <w:szCs w:val="20"/>
                <w:lang w:eastAsia="en-US"/>
              </w:rPr>
              <w:t>is detailed in Oxford City Council’s Anti-Social Behaviour Policy, available on the council’s website.</w:t>
            </w:r>
            <w:r>
              <w:rPr>
                <w:rFonts w:ascii="Arial" w:hAnsi="Arial" w:cs="Arial"/>
                <w:szCs w:val="20"/>
                <w:lang w:eastAsia="en-US"/>
              </w:rPr>
              <w:t xml:space="preserve">  </w:t>
            </w:r>
          </w:p>
        </w:tc>
      </w:tr>
      <w:tr w:rsidR="00ED20C9" w:rsidRPr="001F515A" w:rsidTr="00ED20C9">
        <w:trPr>
          <w:trHeight w:val="1000"/>
        </w:trPr>
        <w:tc>
          <w:tcPr>
            <w:tcW w:w="3369" w:type="dxa"/>
            <w:gridSpan w:val="2"/>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D6296E"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ED20C9" w:rsidP="00713935">
            <w:pPr>
              <w:rPr>
                <w:rFonts w:ascii="Arial" w:hAnsi="Arial" w:cs="Arial"/>
                <w:szCs w:val="20"/>
                <w:lang w:eastAsia="en-US"/>
              </w:rPr>
            </w:pPr>
          </w:p>
        </w:tc>
      </w:tr>
      <w:tr w:rsidR="00ED20C9" w:rsidRPr="001F515A" w:rsidTr="00ED20C9">
        <w:trPr>
          <w:trHeight w:val="1000"/>
        </w:trPr>
        <w:tc>
          <w:tcPr>
            <w:tcW w:w="3369" w:type="dxa"/>
            <w:gridSpan w:val="2"/>
            <w:vAlign w:val="center"/>
          </w:tcPr>
          <w:p w:rsidR="00ED20C9" w:rsidRPr="001F515A" w:rsidRDefault="00ED20C9" w:rsidP="00D6296E">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sidR="00D6296E">
              <w:rPr>
                <w:rFonts w:ascii="Arial" w:hAnsi="Arial" w:cs="Arial"/>
                <w:b/>
                <w:bCs/>
                <w:szCs w:val="20"/>
                <w:lang w:eastAsia="en-US"/>
              </w:rPr>
              <w:t>Cabinet</w:t>
            </w:r>
            <w:r w:rsidRPr="001F515A">
              <w:rPr>
                <w:rFonts w:ascii="Arial" w:hAnsi="Arial" w:cs="Arial"/>
                <w:b/>
                <w:bCs/>
                <w:szCs w:val="20"/>
                <w:lang w:eastAsia="en-US"/>
              </w:rPr>
              <w:t>:</w:t>
            </w:r>
          </w:p>
        </w:tc>
        <w:tc>
          <w:tcPr>
            <w:tcW w:w="1959" w:type="dxa"/>
            <w:gridSpan w:val="2"/>
            <w:vAlign w:val="center"/>
          </w:tcPr>
          <w:p w:rsidR="00ED20C9" w:rsidRPr="001F515A" w:rsidRDefault="00713935" w:rsidP="00D6296E">
            <w:pPr>
              <w:jc w:val="center"/>
              <w:rPr>
                <w:rFonts w:ascii="Arial" w:hAnsi="Arial" w:cs="Arial"/>
                <w:b/>
                <w:szCs w:val="20"/>
                <w:lang w:eastAsia="en-US"/>
              </w:rPr>
            </w:pPr>
            <w:r>
              <w:rPr>
                <w:rFonts w:ascii="Arial" w:hAnsi="Arial" w:cs="Arial"/>
                <w:szCs w:val="20"/>
                <w:lang w:eastAsia="en-US"/>
              </w:rPr>
              <w:t>N/A</w:t>
            </w:r>
          </w:p>
        </w:tc>
        <w:tc>
          <w:tcPr>
            <w:tcW w:w="3180" w:type="dxa"/>
            <w:gridSpan w:val="3"/>
            <w:vAlign w:val="center"/>
          </w:tcPr>
          <w:p w:rsidR="00ED20C9" w:rsidRPr="001F515A" w:rsidRDefault="00ED20C9" w:rsidP="00D6296E">
            <w:pPr>
              <w:rPr>
                <w:rFonts w:ascii="Arial" w:hAnsi="Arial" w:cs="Arial"/>
                <w:b/>
                <w:bCs/>
                <w:szCs w:val="20"/>
                <w:lang w:eastAsia="en-US"/>
              </w:rPr>
            </w:pPr>
            <w:r w:rsidRPr="001F515A">
              <w:rPr>
                <w:rFonts w:ascii="Arial" w:hAnsi="Arial" w:cs="Arial"/>
                <w:b/>
                <w:szCs w:val="20"/>
                <w:lang w:eastAsia="en-US"/>
              </w:rPr>
              <w:t xml:space="preserve">14. Date reported to </w:t>
            </w:r>
            <w:r w:rsidR="00D6296E">
              <w:rPr>
                <w:rFonts w:ascii="Arial" w:hAnsi="Arial" w:cs="Arial"/>
                <w:b/>
                <w:szCs w:val="20"/>
                <w:lang w:eastAsia="en-US"/>
              </w:rPr>
              <w:t>Cabinet</w:t>
            </w:r>
            <w:r w:rsidRPr="001F515A">
              <w:rPr>
                <w:rFonts w:ascii="Arial" w:hAnsi="Arial" w:cs="Arial"/>
                <w:b/>
                <w:szCs w:val="20"/>
                <w:lang w:eastAsia="en-US"/>
              </w:rPr>
              <w:t>:</w:t>
            </w:r>
          </w:p>
        </w:tc>
        <w:tc>
          <w:tcPr>
            <w:tcW w:w="2799" w:type="dxa"/>
            <w:gridSpan w:val="2"/>
            <w:vAlign w:val="center"/>
          </w:tcPr>
          <w:p w:rsidR="00ED20C9" w:rsidRPr="001F515A" w:rsidRDefault="00713935" w:rsidP="00760DAE">
            <w:pPr>
              <w:rPr>
                <w:rFonts w:ascii="Arial" w:hAnsi="Arial" w:cs="Arial"/>
                <w:szCs w:val="20"/>
                <w:lang w:eastAsia="en-US"/>
              </w:rPr>
            </w:pPr>
            <w:r>
              <w:rPr>
                <w:rFonts w:ascii="Arial" w:hAnsi="Arial" w:cs="Arial"/>
                <w:szCs w:val="20"/>
                <w:lang w:eastAsia="en-US"/>
              </w:rPr>
              <w:t>N/A</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ED20C9" w:rsidP="00713935">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002C3B25">
        <w:rPr>
          <w:rFonts w:ascii="Arial" w:hAnsi="Arial" w:cs="Arial"/>
          <w:noProof/>
          <w:szCs w:val="20"/>
        </w:rPr>
        <w:drawing>
          <wp:inline distT="0" distB="0" distL="0" distR="0">
            <wp:extent cx="1096790" cy="71890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097863" cy="719607"/>
                    </a:xfrm>
                    <a:prstGeom prst="rect">
                      <a:avLst/>
                    </a:prstGeom>
                  </pic:spPr>
                </pic:pic>
              </a:graphicData>
            </a:graphic>
          </wp:inline>
        </w:drawing>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bookmarkStart w:id="0" w:name="_GoBack"/>
      <w:bookmarkEnd w:id="0"/>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713935">
      <w:headerReference w:type="default" r:id="rId12"/>
      <w:footerReference w:type="default" r:id="rId13"/>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0E" w:rsidRDefault="00196A0E" w:rsidP="00B21479">
      <w:r>
        <w:separator/>
      </w:r>
    </w:p>
  </w:endnote>
  <w:endnote w:type="continuationSeparator" w:id="0">
    <w:p w:rsidR="00196A0E" w:rsidRDefault="00196A0E"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0B0D2A" w:rsidRDefault="002C3B25"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1479" w:rsidRPr="000B0D2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0E" w:rsidRDefault="00196A0E" w:rsidP="00B21479">
      <w:r>
        <w:separator/>
      </w:r>
    </w:p>
  </w:footnote>
  <w:footnote w:type="continuationSeparator" w:id="0">
    <w:p w:rsidR="00196A0E" w:rsidRDefault="00196A0E"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2" w:rsidRPr="00C63E53" w:rsidRDefault="00713935">
    <w:pPr>
      <w:pStyle w:val="Header"/>
      <w:rPr>
        <w:rFonts w:ascii="Arial" w:hAnsi="Arial" w:cs="Arial"/>
        <w:b/>
        <w:sz w:val="28"/>
      </w:rPr>
    </w:pPr>
    <w:r>
      <w:rPr>
        <w:rFonts w:ascii="Arial" w:hAnsi="Arial" w:cs="Arial"/>
        <w:b/>
        <w:sz w:val="28"/>
      </w:rPr>
      <w:t>Appendix 7</w:t>
    </w:r>
    <w:r w:rsidR="004311B2" w:rsidRPr="00C63E53">
      <w:rPr>
        <w:rFonts w:ascii="Arial" w:hAnsi="Arial" w:cs="Arial"/>
        <w:b/>
        <w:sz w:val="28"/>
      </w:rPr>
      <w:t xml:space="preserve">: Oxford </w:t>
    </w:r>
    <w:r>
      <w:rPr>
        <w:rFonts w:ascii="Arial" w:hAnsi="Arial" w:cs="Arial"/>
        <w:b/>
        <w:sz w:val="28"/>
      </w:rPr>
      <w:t>Parks</w:t>
    </w:r>
    <w:r w:rsidR="00556DA4">
      <w:rPr>
        <w:rFonts w:ascii="Arial" w:hAnsi="Arial" w:cs="Arial"/>
        <w:b/>
        <w:sz w:val="28"/>
      </w:rPr>
      <w:t xml:space="preserve"> </w:t>
    </w:r>
    <w:r w:rsidR="00C63E53">
      <w:rPr>
        <w:rFonts w:ascii="Arial" w:hAnsi="Arial" w:cs="Arial"/>
        <w:b/>
        <w:sz w:val="28"/>
      </w:rPr>
      <w:t>PSPO</w:t>
    </w:r>
    <w:r w:rsidR="004311B2" w:rsidRPr="00C63E53">
      <w:rPr>
        <w:rFonts w:ascii="Arial" w:hAnsi="Arial" w:cs="Arial"/>
        <w:b/>
        <w:sz w:val="28"/>
      </w:rPr>
      <w:t xml:space="preserve"> – Equalities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34BC0"/>
    <w:multiLevelType w:val="hybridMultilevel"/>
    <w:tmpl w:val="2A7638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430C0"/>
    <w:multiLevelType w:val="hybridMultilevel"/>
    <w:tmpl w:val="8A0A3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522AE"/>
    <w:multiLevelType w:val="hybridMultilevel"/>
    <w:tmpl w:val="64102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82E26"/>
    <w:multiLevelType w:val="hybridMultilevel"/>
    <w:tmpl w:val="FCD659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22B19"/>
    <w:rsid w:val="00041903"/>
    <w:rsid w:val="00080850"/>
    <w:rsid w:val="000864FA"/>
    <w:rsid w:val="000B0D2A"/>
    <w:rsid w:val="000B4310"/>
    <w:rsid w:val="000F3BAB"/>
    <w:rsid w:val="00111DE0"/>
    <w:rsid w:val="00120373"/>
    <w:rsid w:val="00135B0D"/>
    <w:rsid w:val="00142786"/>
    <w:rsid w:val="00153E45"/>
    <w:rsid w:val="00164D8F"/>
    <w:rsid w:val="00166BA2"/>
    <w:rsid w:val="00196A0E"/>
    <w:rsid w:val="001F515A"/>
    <w:rsid w:val="00215A4A"/>
    <w:rsid w:val="0023354C"/>
    <w:rsid w:val="00262814"/>
    <w:rsid w:val="00262D34"/>
    <w:rsid w:val="002C13DA"/>
    <w:rsid w:val="002C293A"/>
    <w:rsid w:val="002C3B25"/>
    <w:rsid w:val="002D3056"/>
    <w:rsid w:val="00350A6B"/>
    <w:rsid w:val="00376912"/>
    <w:rsid w:val="003B177E"/>
    <w:rsid w:val="003C118C"/>
    <w:rsid w:val="003F46CB"/>
    <w:rsid w:val="004000D7"/>
    <w:rsid w:val="004311B2"/>
    <w:rsid w:val="00475E86"/>
    <w:rsid w:val="004A0B51"/>
    <w:rsid w:val="00504E43"/>
    <w:rsid w:val="005129A5"/>
    <w:rsid w:val="0054009D"/>
    <w:rsid w:val="005448C4"/>
    <w:rsid w:val="00556DA4"/>
    <w:rsid w:val="005973F9"/>
    <w:rsid w:val="005E2614"/>
    <w:rsid w:val="005E3ECE"/>
    <w:rsid w:val="00611C1D"/>
    <w:rsid w:val="00657158"/>
    <w:rsid w:val="0067313B"/>
    <w:rsid w:val="007070ED"/>
    <w:rsid w:val="00713935"/>
    <w:rsid w:val="0075073A"/>
    <w:rsid w:val="00760DAE"/>
    <w:rsid w:val="007908F4"/>
    <w:rsid w:val="007974F6"/>
    <w:rsid w:val="0080343B"/>
    <w:rsid w:val="008117F2"/>
    <w:rsid w:val="00817AC6"/>
    <w:rsid w:val="00880CE5"/>
    <w:rsid w:val="008878A1"/>
    <w:rsid w:val="008A22C6"/>
    <w:rsid w:val="00903362"/>
    <w:rsid w:val="00910137"/>
    <w:rsid w:val="009344AE"/>
    <w:rsid w:val="00944A56"/>
    <w:rsid w:val="00963B3C"/>
    <w:rsid w:val="00983205"/>
    <w:rsid w:val="009A5564"/>
    <w:rsid w:val="009B4AC3"/>
    <w:rsid w:val="009C5712"/>
    <w:rsid w:val="009D57BC"/>
    <w:rsid w:val="009F00B3"/>
    <w:rsid w:val="00A16355"/>
    <w:rsid w:val="00A5175C"/>
    <w:rsid w:val="00AE7473"/>
    <w:rsid w:val="00AF3669"/>
    <w:rsid w:val="00AF44D6"/>
    <w:rsid w:val="00B21479"/>
    <w:rsid w:val="00B51D02"/>
    <w:rsid w:val="00BC5611"/>
    <w:rsid w:val="00C07F80"/>
    <w:rsid w:val="00C11DF7"/>
    <w:rsid w:val="00C521F6"/>
    <w:rsid w:val="00C54136"/>
    <w:rsid w:val="00C63E53"/>
    <w:rsid w:val="00C82A08"/>
    <w:rsid w:val="00CD191B"/>
    <w:rsid w:val="00CE1DAB"/>
    <w:rsid w:val="00CE7E7C"/>
    <w:rsid w:val="00D55026"/>
    <w:rsid w:val="00D6296E"/>
    <w:rsid w:val="00DA4417"/>
    <w:rsid w:val="00DE1F99"/>
    <w:rsid w:val="00E411FE"/>
    <w:rsid w:val="00E44635"/>
    <w:rsid w:val="00E57103"/>
    <w:rsid w:val="00E8259C"/>
    <w:rsid w:val="00EB72EC"/>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C79406-1A03-45C9-907A-9CA58D92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5E3ECE"/>
  </w:style>
  <w:style w:type="paragraph" w:customStyle="1" w:styleId="Default">
    <w:name w:val="Default"/>
    <w:rsid w:val="00D6296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99CE-7BA0-43D6-B161-0BEF174E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13</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daryl.edmunds</dc:creator>
  <cp:lastModifiedBy>ADAMS Richard J</cp:lastModifiedBy>
  <cp:revision>6</cp:revision>
  <dcterms:created xsi:type="dcterms:W3CDTF">2020-09-30T10:49:00Z</dcterms:created>
  <dcterms:modified xsi:type="dcterms:W3CDTF">2021-07-13T10:56:00Z</dcterms:modified>
</cp:coreProperties>
</file>